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4E5976" w:rsidRDefault="00D141FA" w:rsidP="00E1613F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Billerica is a suburban community </w:t>
            </w:r>
            <w:r w:rsidR="00F16C23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of 42,791</w:t>
            </w:r>
            <w:r w:rsidR="009F1002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residents located south of Lowell in Middlesex County. </w:t>
            </w:r>
            <w:r w:rsidR="004C2826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The town is located along the Concord River, and near the Merrimack River. Most families in town live in single-family </w:t>
            </w:r>
            <w:proofErr w:type="gramStart"/>
            <w:r w:rsidR="004C2826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homes,</w:t>
            </w:r>
            <w:proofErr w:type="gramEnd"/>
            <w:r w:rsidR="004C2826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however there are also multi-family homes and apartments available.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BC2729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3" name="Picture 3" descr="Image result for billerica ma first parish church town co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erica ma first parish church town comm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24" cy="24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Billerica First Parish Church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 xml:space="preserve">(Photo Source </w:t>
      </w:r>
      <w:r>
        <w:rPr>
          <w:rFonts w:ascii="Calibri" w:hAnsi="Calibri" w:cs="Calibri"/>
          <w:color w:val="0070C0"/>
          <w:sz w:val="16"/>
          <w:szCs w:val="16"/>
        </w:rPr>
        <w:t>Lowell Sun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4E5976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4E5976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In 2016, the Town of </w:t>
      </w:r>
      <w:r w:rsidR="00865FB9" w:rsidRPr="004E5976">
        <w:rPr>
          <w:rFonts w:ascii="Calibri" w:eastAsia="Meiryo" w:hAnsi="Calibri" w:cs="Calibri"/>
          <w:color w:val="0070C0"/>
          <w:sz w:val="18"/>
          <w:szCs w:val="18"/>
          <w:lang w:eastAsia="ja-JP"/>
        </w:rPr>
        <w:t>Billerica</w:t>
      </w:r>
      <w:r w:rsidR="0040345B">
        <w:rPr>
          <w:rFonts w:ascii="Calibri" w:eastAsia="Meiryo" w:hAnsi="Calibri" w:cs="Calibri"/>
          <w:color w:val="0070C0"/>
          <w:sz w:val="18"/>
          <w:szCs w:val="18"/>
          <w:lang w:eastAsia="ja-JP"/>
        </w:rPr>
        <w:t>’s violent crime rate was 75</w:t>
      </w:r>
      <w:r w:rsidRPr="004E5976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% lower </w:t>
      </w:r>
      <w:r w:rsidR="0040345B">
        <w:rPr>
          <w:rFonts w:ascii="Calibri" w:eastAsia="Meiryo" w:hAnsi="Calibri" w:cs="Calibri"/>
          <w:color w:val="0070C0"/>
          <w:sz w:val="18"/>
          <w:szCs w:val="18"/>
          <w:lang w:eastAsia="ja-JP"/>
        </w:rPr>
        <w:t>than the national average and 73</w:t>
      </w:r>
      <w:r w:rsidRPr="004E5976">
        <w:rPr>
          <w:rFonts w:ascii="Calibri" w:eastAsia="Meiryo" w:hAnsi="Calibri" w:cs="Calibri"/>
          <w:color w:val="0070C0"/>
          <w:sz w:val="18"/>
          <w:szCs w:val="18"/>
          <w:lang w:eastAsia="ja-JP"/>
        </w:rPr>
        <w:t>% lower than the Massachusetts average. The property crime rate was 81% lower than the national average and 70% lower than the Massachusetts average.</w:t>
      </w:r>
      <w:r w:rsidR="00C82EF2" w:rsidRPr="004E5976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 </w:t>
      </w:r>
    </w:p>
    <w:p w:rsidR="00D01310" w:rsidRPr="004E5976" w:rsidRDefault="00D01310" w:rsidP="00D01310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</w:p>
    <w:p w:rsidR="00020906" w:rsidRPr="004236B0" w:rsidRDefault="00D01310" w:rsidP="00F04B93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  <w:r w:rsidRPr="004236B0">
        <w:rPr>
          <w:rFonts w:ascii="Calibri" w:eastAsia="Meiryo" w:hAnsi="Calibri" w:cs="Calibri"/>
          <w:color w:val="0070C0"/>
          <w:sz w:val="14"/>
          <w:szCs w:val="14"/>
          <w:lang w:eastAsia="ja-JP"/>
        </w:rPr>
        <w:t xml:space="preserve">Data Source: </w:t>
      </w:r>
      <w:r w:rsidR="0037773C" w:rsidRPr="004236B0">
        <w:rPr>
          <w:rFonts w:ascii="Calibri" w:eastAsia="Meiryo" w:hAnsi="Calibri" w:cs="Calibri"/>
          <w:color w:val="0070C0"/>
          <w:sz w:val="14"/>
          <w:szCs w:val="14"/>
          <w:lang w:eastAsia="ja-JP"/>
        </w:rPr>
        <w:t>www.cityrating.com/crime-statistics</w:t>
      </w:r>
    </w:p>
    <w:p w:rsidR="00232E95" w:rsidRPr="004E5976" w:rsidRDefault="00232E95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4E5976" w:rsidRDefault="00C82EF2" w:rsidP="00B76682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Most residents of Billerica rely on a car for transportation; Route 3 runs through town and I-495 is a short drive away. The </w:t>
            </w:r>
            <w:r w:rsidR="00DD4EF5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LRTA 3, 13, and 14 buses provide the town’s public transportation</w:t>
            </w: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. </w:t>
            </w:r>
            <w:r w:rsidR="00DD4EF5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Billerica has its own Commuter Rail Station; however, some parts of town are closer to the Wilmington Commuter Rail Station.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E5976" w:rsidRDefault="004E5976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020FF6" w:rsidRPr="004E5976" w:rsidRDefault="00020FF6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E5976" w:rsidRDefault="00D25713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Parker Elementary School (K – 5)</w:t>
      </w:r>
    </w:p>
    <w:p w:rsidR="00D01310" w:rsidRPr="004E5976" w:rsidRDefault="00D25713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4</w:t>
      </w:r>
      <w:r w:rsidR="00D01310" w:rsidRPr="004E5976">
        <w:rPr>
          <w:rFonts w:ascii="Calibri" w:hAnsi="Calibri" w:cs="Calibri"/>
          <w:color w:val="0070C0"/>
          <w:sz w:val="18"/>
          <w:szCs w:val="18"/>
        </w:rPr>
        <w:t>/10</w:t>
      </w:r>
    </w:p>
    <w:p w:rsidR="00D01310" w:rsidRPr="004E597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E5976" w:rsidRDefault="00D25713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Kennedy Elementary School (K – 5)</w:t>
      </w:r>
    </w:p>
    <w:p w:rsidR="00D01310" w:rsidRPr="004E5976" w:rsidRDefault="00D01310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7/10</w:t>
      </w:r>
    </w:p>
    <w:p w:rsidR="00D01310" w:rsidRPr="004E597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E5976" w:rsidRDefault="007022F2" w:rsidP="00D01310">
      <w:pPr>
        <w:rPr>
          <w:rFonts w:ascii="Calibri" w:hAnsi="Calibri" w:cs="Calibri"/>
          <w:color w:val="0070C0"/>
          <w:sz w:val="18"/>
          <w:szCs w:val="18"/>
        </w:rPr>
      </w:pPr>
      <w:proofErr w:type="spellStart"/>
      <w:r w:rsidRPr="004E5976">
        <w:rPr>
          <w:rFonts w:ascii="Calibri" w:hAnsi="Calibri" w:cs="Calibri"/>
          <w:color w:val="0070C0"/>
          <w:sz w:val="18"/>
          <w:szCs w:val="18"/>
        </w:rPr>
        <w:t>Hajjar</w:t>
      </w:r>
      <w:proofErr w:type="spellEnd"/>
      <w:r w:rsidRPr="004E5976">
        <w:rPr>
          <w:rFonts w:ascii="Calibri" w:hAnsi="Calibri" w:cs="Calibri"/>
          <w:color w:val="0070C0"/>
          <w:sz w:val="18"/>
          <w:szCs w:val="18"/>
        </w:rPr>
        <w:t xml:space="preserve"> Elementary School (K – 5)</w:t>
      </w:r>
    </w:p>
    <w:p w:rsidR="00D01310" w:rsidRPr="004E5976" w:rsidRDefault="007022F2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4</w:t>
      </w:r>
      <w:r w:rsidR="00D01310" w:rsidRPr="004E5976">
        <w:rPr>
          <w:rFonts w:ascii="Calibri" w:hAnsi="Calibri" w:cs="Calibri"/>
          <w:color w:val="0070C0"/>
          <w:sz w:val="18"/>
          <w:szCs w:val="18"/>
        </w:rPr>
        <w:t>/10</w:t>
      </w:r>
    </w:p>
    <w:p w:rsidR="00D01310" w:rsidRPr="004E597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E5976" w:rsidRDefault="008C0486" w:rsidP="00D01310">
      <w:pPr>
        <w:rPr>
          <w:rFonts w:ascii="Calibri" w:hAnsi="Calibri" w:cs="Calibri"/>
          <w:color w:val="0070C0"/>
          <w:sz w:val="18"/>
          <w:szCs w:val="18"/>
        </w:rPr>
      </w:pPr>
      <w:proofErr w:type="spellStart"/>
      <w:r w:rsidRPr="004E5976">
        <w:rPr>
          <w:rFonts w:ascii="Calibri" w:hAnsi="Calibri" w:cs="Calibri"/>
          <w:color w:val="0070C0"/>
          <w:sz w:val="18"/>
          <w:szCs w:val="18"/>
        </w:rPr>
        <w:t>Dutile</w:t>
      </w:r>
      <w:proofErr w:type="spellEnd"/>
      <w:r w:rsidRPr="004E5976">
        <w:rPr>
          <w:rFonts w:ascii="Calibri" w:hAnsi="Calibri" w:cs="Calibri"/>
          <w:color w:val="0070C0"/>
          <w:sz w:val="18"/>
          <w:szCs w:val="18"/>
        </w:rPr>
        <w:t xml:space="preserve"> Elementary School (K – 5)</w:t>
      </w:r>
    </w:p>
    <w:p w:rsidR="00D01310" w:rsidRPr="004E5976" w:rsidRDefault="008C0486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5</w:t>
      </w:r>
      <w:r w:rsidR="00D01310" w:rsidRPr="004E5976">
        <w:rPr>
          <w:rFonts w:ascii="Calibri" w:hAnsi="Calibri" w:cs="Calibri"/>
          <w:color w:val="0070C0"/>
          <w:sz w:val="18"/>
          <w:szCs w:val="18"/>
        </w:rPr>
        <w:t>/10</w:t>
      </w:r>
    </w:p>
    <w:p w:rsidR="00D01310" w:rsidRPr="004E597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E5976" w:rsidRDefault="008C0486" w:rsidP="00D01310">
      <w:pPr>
        <w:rPr>
          <w:rFonts w:ascii="Calibri" w:hAnsi="Calibri" w:cs="Calibri"/>
          <w:color w:val="0070C0"/>
          <w:sz w:val="18"/>
          <w:szCs w:val="18"/>
        </w:rPr>
      </w:pPr>
      <w:proofErr w:type="spellStart"/>
      <w:r w:rsidRPr="004E5976">
        <w:rPr>
          <w:rFonts w:ascii="Calibri" w:hAnsi="Calibri" w:cs="Calibri"/>
          <w:color w:val="0070C0"/>
          <w:sz w:val="18"/>
          <w:szCs w:val="18"/>
        </w:rPr>
        <w:t>Ditson</w:t>
      </w:r>
      <w:proofErr w:type="spellEnd"/>
      <w:r w:rsidRPr="004E5976">
        <w:rPr>
          <w:rFonts w:ascii="Calibri" w:hAnsi="Calibri" w:cs="Calibri"/>
          <w:color w:val="0070C0"/>
          <w:sz w:val="18"/>
          <w:szCs w:val="18"/>
        </w:rPr>
        <w:t xml:space="preserve"> Elementary School (K – 5)</w:t>
      </w:r>
    </w:p>
    <w:p w:rsidR="00D01310" w:rsidRPr="004E5976" w:rsidRDefault="008C0486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5</w:t>
      </w:r>
      <w:r w:rsidR="00D01310" w:rsidRPr="004E5976">
        <w:rPr>
          <w:rFonts w:ascii="Calibri" w:hAnsi="Calibri" w:cs="Calibri"/>
          <w:color w:val="0070C0"/>
          <w:sz w:val="18"/>
          <w:szCs w:val="18"/>
        </w:rPr>
        <w:t>/10</w:t>
      </w:r>
    </w:p>
    <w:p w:rsidR="008C0486" w:rsidRPr="004E5976" w:rsidRDefault="008C0486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Marshall Middle School (6 – 8)</w:t>
      </w: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6/10</w:t>
      </w:r>
    </w:p>
    <w:p w:rsidR="008C0486" w:rsidRPr="004E5976" w:rsidRDefault="008C0486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Locke Middle School (6 – 8)</w:t>
      </w: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5/10</w:t>
      </w:r>
    </w:p>
    <w:p w:rsidR="008C0486" w:rsidRPr="004E5976" w:rsidRDefault="008C0486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Billerica Memorial High School (9 – 12)</w:t>
      </w:r>
    </w:p>
    <w:p w:rsidR="008C0486" w:rsidRPr="004E5976" w:rsidRDefault="008C0486" w:rsidP="00D01310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5/10</w:t>
      </w:r>
    </w:p>
    <w:p w:rsidR="00F04B93" w:rsidRPr="004E5976" w:rsidRDefault="00F04B93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proofErr w:type="spellStart"/>
      <w:r w:rsidRPr="004E5976">
        <w:rPr>
          <w:rFonts w:ascii="Calibri" w:hAnsi="Calibri" w:cs="Calibri"/>
          <w:color w:val="0070C0"/>
          <w:sz w:val="18"/>
          <w:szCs w:val="18"/>
        </w:rPr>
        <w:t>Shawsheen</w:t>
      </w:r>
      <w:proofErr w:type="spellEnd"/>
      <w:r w:rsidRPr="004E5976">
        <w:rPr>
          <w:rFonts w:ascii="Calibri" w:hAnsi="Calibri" w:cs="Calibri"/>
          <w:color w:val="0070C0"/>
          <w:sz w:val="18"/>
          <w:szCs w:val="18"/>
        </w:rPr>
        <w:t xml:space="preserve"> Valley Technical High School (9 – 12)</w:t>
      </w:r>
    </w:p>
    <w:p w:rsidR="008C0486" w:rsidRPr="004E5976" w:rsidRDefault="008C0486" w:rsidP="008C0486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Great Schools Rating: 7/10</w:t>
      </w:r>
    </w:p>
    <w:p w:rsidR="008C0486" w:rsidRPr="004E5976" w:rsidRDefault="008C0486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06351C" w:rsidRPr="004E5976" w:rsidRDefault="0006351C" w:rsidP="00F04B93">
      <w:pPr>
        <w:rPr>
          <w:rFonts w:ascii="Calibri" w:hAnsi="Calibri" w:cs="Calibri"/>
          <w:color w:val="0070C0"/>
          <w:sz w:val="18"/>
          <w:szCs w:val="18"/>
        </w:rPr>
      </w:pPr>
      <w:r w:rsidRPr="004E5976">
        <w:rPr>
          <w:rFonts w:ascii="Calibri" w:hAnsi="Calibri" w:cs="Calibri"/>
          <w:color w:val="0070C0"/>
          <w:sz w:val="18"/>
          <w:szCs w:val="18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RPr="004E5976" w:rsidTr="005776E6">
        <w:tc>
          <w:tcPr>
            <w:tcW w:w="3690" w:type="dxa"/>
            <w:vAlign w:val="center"/>
          </w:tcPr>
          <w:p w:rsidR="0006351C" w:rsidRPr="004E5976" w:rsidRDefault="008C0486" w:rsidP="004256BA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0070C0"/>
                <w:sz w:val="18"/>
                <w:szCs w:val="18"/>
              </w:rPr>
              <w:t>Billerica Memorial High School</w:t>
            </w:r>
          </w:p>
        </w:tc>
        <w:tc>
          <w:tcPr>
            <w:tcW w:w="900" w:type="dxa"/>
            <w:vAlign w:val="center"/>
          </w:tcPr>
          <w:p w:rsidR="0006351C" w:rsidRPr="004E5976" w:rsidRDefault="008C0486" w:rsidP="0006351C">
            <w:pPr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0070C0"/>
                <w:sz w:val="18"/>
                <w:szCs w:val="18"/>
              </w:rPr>
              <w:t>91.0</w:t>
            </w:r>
            <w:r w:rsidR="0006351C" w:rsidRPr="004E5976">
              <w:rPr>
                <w:rFonts w:ascii="Calibri" w:hAnsi="Calibri" w:cs="Calibri"/>
                <w:color w:val="0070C0"/>
                <w:sz w:val="18"/>
                <w:szCs w:val="18"/>
              </w:rPr>
              <w:t>%</w:t>
            </w:r>
          </w:p>
        </w:tc>
      </w:tr>
      <w:tr w:rsidR="0006351C" w:rsidRPr="004E5976" w:rsidTr="005776E6">
        <w:tc>
          <w:tcPr>
            <w:tcW w:w="3690" w:type="dxa"/>
            <w:vAlign w:val="center"/>
          </w:tcPr>
          <w:p w:rsidR="0006351C" w:rsidRPr="004E5976" w:rsidRDefault="0006351C" w:rsidP="0006351C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0070C0"/>
                <w:sz w:val="18"/>
                <w:szCs w:val="18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4E5976" w:rsidRDefault="0006351C" w:rsidP="0006351C">
            <w:pPr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0070C0"/>
                <w:sz w:val="18"/>
                <w:szCs w:val="18"/>
              </w:rPr>
              <w:t>87.9%</w:t>
            </w:r>
          </w:p>
        </w:tc>
      </w:tr>
    </w:tbl>
    <w:p w:rsidR="0006351C" w:rsidRPr="004236B0" w:rsidRDefault="0006351C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4236B0" w:rsidRDefault="00D01310" w:rsidP="00F04B93">
      <w:pPr>
        <w:rPr>
          <w:rFonts w:ascii="Calibri" w:hAnsi="Calibri" w:cs="Calibri"/>
          <w:color w:val="0070C0"/>
          <w:sz w:val="14"/>
          <w:szCs w:val="14"/>
        </w:rPr>
      </w:pPr>
      <w:r w:rsidRPr="004236B0">
        <w:rPr>
          <w:rFonts w:ascii="Calibri" w:hAnsi="Calibri" w:cs="Calibri"/>
          <w:color w:val="0070C0"/>
          <w:sz w:val="14"/>
          <w:szCs w:val="14"/>
        </w:rPr>
        <w:t>Data Source</w:t>
      </w:r>
      <w:r w:rsidR="004256BA" w:rsidRPr="004236B0">
        <w:rPr>
          <w:rFonts w:ascii="Calibri" w:hAnsi="Calibri" w:cs="Calibri"/>
          <w:color w:val="0070C0"/>
          <w:sz w:val="14"/>
          <w:szCs w:val="14"/>
        </w:rPr>
        <w:t>s</w:t>
      </w:r>
      <w:r w:rsidRPr="004236B0">
        <w:rPr>
          <w:rFonts w:ascii="Calibri" w:hAnsi="Calibri" w:cs="Calibri"/>
          <w:color w:val="0070C0"/>
          <w:sz w:val="14"/>
          <w:szCs w:val="14"/>
        </w:rPr>
        <w:t>: GreatSchools.org</w:t>
      </w:r>
      <w:r w:rsidR="0006351C" w:rsidRPr="004236B0">
        <w:rPr>
          <w:rFonts w:ascii="Calibri" w:hAnsi="Calibri" w:cs="Calibri"/>
          <w:color w:val="0070C0"/>
          <w:sz w:val="14"/>
          <w:szCs w:val="14"/>
        </w:rPr>
        <w:t>; MA Dept. of Elementary &amp; Secondary Education District Profiles</w:t>
      </w:r>
    </w:p>
    <w:p w:rsidR="00D01310" w:rsidRPr="00CA46BB" w:rsidRDefault="00232E95" w:rsidP="00CA46B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Pr="004E5976" w:rsidRDefault="009C5DA1" w:rsidP="00F04B93">
      <w:pPr>
        <w:rPr>
          <w:rFonts w:ascii="Calibri" w:hAnsi="Calibri" w:cs="Calibri"/>
          <w:color w:val="0070C0"/>
          <w:sz w:val="19"/>
          <w:szCs w:val="19"/>
        </w:rPr>
      </w:pPr>
      <w:r w:rsidRPr="004E5976">
        <w:rPr>
          <w:rFonts w:ascii="Calibri" w:hAnsi="Calibri" w:cs="Calibri"/>
          <w:color w:val="0070C0"/>
          <w:sz w:val="19"/>
          <w:szCs w:val="19"/>
        </w:rPr>
        <w:t xml:space="preserve">Poverty </w:t>
      </w:r>
      <w:r w:rsidR="0016483E" w:rsidRPr="004E5976">
        <w:rPr>
          <w:rFonts w:ascii="Calibri" w:hAnsi="Calibri" w:cs="Calibri"/>
          <w:color w:val="0070C0"/>
          <w:sz w:val="19"/>
          <w:szCs w:val="19"/>
        </w:rPr>
        <w:t>Rate: 4.3</w:t>
      </w:r>
      <w:r w:rsidRPr="004E5976">
        <w:rPr>
          <w:rFonts w:ascii="Calibri" w:hAnsi="Calibri" w:cs="Calibri"/>
          <w:color w:val="0070C0"/>
          <w:sz w:val="19"/>
          <w:szCs w:val="19"/>
        </w:rPr>
        <w:t>%</w:t>
      </w:r>
    </w:p>
    <w:p w:rsidR="009C5DA1" w:rsidRPr="004E5976" w:rsidRDefault="009C5DA1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4E5976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4E5976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4E5976" w:rsidRDefault="00D01310" w:rsidP="00D01310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4E5976" w:rsidRDefault="008B545B" w:rsidP="00D01310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87.9</w:t>
            </w:r>
            <w:r w:rsidR="00D01310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4E5976" w:rsidRDefault="00685194" w:rsidP="00685194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4E5976" w:rsidRDefault="008B545B" w:rsidP="00685194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7.0</w:t>
            </w:r>
            <w:r w:rsidR="00685194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4E5976" w:rsidRDefault="00685194" w:rsidP="00685194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4E5976" w:rsidRDefault="008B545B" w:rsidP="00685194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0.5</w:t>
            </w:r>
            <w:r w:rsidR="00685194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4E5976" w:rsidRDefault="00D01310" w:rsidP="00D01310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4E5976" w:rsidRDefault="008B545B" w:rsidP="00D01310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4.3</w:t>
            </w:r>
            <w:r w:rsidR="00D01310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4E5976" w:rsidRDefault="00685194" w:rsidP="00685194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4E5976" w:rsidRDefault="008B545B" w:rsidP="00685194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4.0</w:t>
            </w:r>
            <w:r w:rsidR="00685194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4E5976" w:rsidRDefault="00D01310" w:rsidP="00D01310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4E5976" w:rsidRDefault="008B545B" w:rsidP="00D01310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0.1</w:t>
            </w:r>
            <w:r w:rsidR="00D01310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B76682" w:rsidRPr="004E5976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4E5976" w:rsidRDefault="00D01310" w:rsidP="00D01310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4E5976" w:rsidRDefault="008B545B" w:rsidP="00D01310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2.5</w:t>
            </w:r>
            <w:r w:rsidR="00D01310" w:rsidRPr="004E5976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%</w:t>
            </w:r>
          </w:p>
        </w:tc>
      </w:tr>
    </w:tbl>
    <w:p w:rsidR="00B76682" w:rsidRPr="004236B0" w:rsidRDefault="00B76682" w:rsidP="00D01310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4E5976" w:rsidRDefault="00B76682" w:rsidP="00B766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E5976">
              <w:rPr>
                <w:rFonts w:ascii="Calibri" w:hAnsi="Calibri" w:cs="Calibri"/>
                <w:b/>
                <w:sz w:val="18"/>
                <w:szCs w:val="18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4E5976" w:rsidRDefault="00B76682" w:rsidP="00B766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5976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4E5976" w:rsidRDefault="00D01310" w:rsidP="00B76682">
            <w:pPr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4E5976" w:rsidRDefault="00C74DED" w:rsidP="00D0131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5.3</w:t>
            </w:r>
            <w:r w:rsidR="00D01310" w:rsidRPr="004E5976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4E5976" w:rsidRDefault="00D01310" w:rsidP="00B76682">
            <w:pPr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4E5976" w:rsidRDefault="00C74DED" w:rsidP="00D0131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14.3</w:t>
            </w:r>
            <w:r w:rsidR="00D01310" w:rsidRPr="004E5976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4E5976" w:rsidRDefault="00D01310" w:rsidP="00B76682">
            <w:pPr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4E5976" w:rsidRDefault="00C74DED" w:rsidP="00D0131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65.6</w:t>
            </w:r>
            <w:r w:rsidR="00D01310" w:rsidRPr="004E5976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4E5976" w:rsidRDefault="00D01310" w:rsidP="00B76682">
            <w:pPr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4E5976" w:rsidRDefault="00C74DED" w:rsidP="00D0131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E5976">
              <w:rPr>
                <w:rFonts w:ascii="Calibri" w:hAnsi="Calibri" w:cs="Calibri"/>
                <w:sz w:val="18"/>
                <w:szCs w:val="18"/>
              </w:rPr>
              <w:t>14.8</w:t>
            </w:r>
            <w:r w:rsidR="00D01310" w:rsidRPr="004E5976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</w:tbl>
    <w:p w:rsidR="00342274" w:rsidRPr="004E5976" w:rsidRDefault="00342274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CF4108" w:rsidRPr="004236B0" w:rsidRDefault="0006351C">
      <w:pPr>
        <w:rPr>
          <w:rFonts w:ascii="Calibri" w:hAnsi="Calibri" w:cs="Calibri"/>
          <w:color w:val="0070C0"/>
          <w:sz w:val="14"/>
          <w:szCs w:val="14"/>
        </w:rPr>
      </w:pPr>
      <w:r w:rsidRPr="004236B0">
        <w:rPr>
          <w:rFonts w:ascii="Calibri" w:hAnsi="Calibri" w:cs="Calibri"/>
          <w:color w:val="0070C0"/>
          <w:sz w:val="14"/>
          <w:szCs w:val="14"/>
        </w:rPr>
        <w:t xml:space="preserve">Data Source: American </w:t>
      </w:r>
      <w:proofErr w:type="spellStart"/>
      <w:r w:rsidRPr="004236B0">
        <w:rPr>
          <w:rFonts w:ascii="Calibri" w:hAnsi="Calibri" w:cs="Calibri"/>
          <w:color w:val="0070C0"/>
          <w:sz w:val="14"/>
          <w:szCs w:val="14"/>
        </w:rPr>
        <w:t>FactFinder</w:t>
      </w:r>
      <w:proofErr w:type="spellEnd"/>
      <w:r w:rsidRPr="004236B0">
        <w:rPr>
          <w:rFonts w:ascii="Calibri" w:hAnsi="Calibri" w:cs="Calibri"/>
          <w:color w:val="0070C0"/>
          <w:sz w:val="14"/>
          <w:szCs w:val="14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0D534C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There are many shopping plazas within Billerica, including three supermarkets. Additionally, Billerica is only a short drive away from both the Pheasant Lane Mall in Nashua, NH, and the Burlington Mall in Burlington, MA.</w:t>
      </w: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0D534C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Billerica offers many events and programs in town for kids and families including outdoor movie nights in the summer and a variety of other programs including sports and drama.</w:t>
      </w:r>
      <w:r w:rsidR="00AF62C8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F36EF2">
        <w:rPr>
          <w:rFonts w:ascii="Calibri" w:hAnsi="Calibri" w:cs="Calibri"/>
          <w:color w:val="0070C0"/>
          <w:sz w:val="20"/>
          <w:szCs w:val="20"/>
        </w:rPr>
        <w:t>The town also has many parks and conservation areas with hiking trails available to the public.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F36EF2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061983" cy="1549400"/>
            <wp:effectExtent l="0" t="0" r="0" b="0"/>
            <wp:docPr id="6" name="Picture 6" descr="Image result for billerica memorial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llerica memorial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97" cy="15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 w:rsidR="004A68F4">
        <w:rPr>
          <w:noProof/>
        </w:rPr>
        <w:drawing>
          <wp:inline distT="0" distB="0" distL="0" distR="0">
            <wp:extent cx="2070100" cy="1552575"/>
            <wp:effectExtent l="0" t="0" r="6350" b="9525"/>
            <wp:docPr id="7" name="Picture 7" descr="Image result for billerica stat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llerica state for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AF62C8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Billerica Memorial High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School</w:t>
      </w:r>
      <w:r w:rsidR="004A68F4">
        <w:rPr>
          <w:rFonts w:ascii="Calibri" w:hAnsi="Calibri" w:cs="Calibri"/>
          <w:color w:val="0070C0"/>
          <w:sz w:val="20"/>
          <w:szCs w:val="20"/>
        </w:rPr>
        <w:t>/Manning State Forest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 w:rsidR="00F36EF2">
        <w:rPr>
          <w:rFonts w:ascii="Calibri" w:hAnsi="Calibri" w:cs="Calibri"/>
          <w:color w:val="0070C0"/>
          <w:sz w:val="16"/>
          <w:szCs w:val="16"/>
        </w:rPr>
        <w:t>Billerica Minuteman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911D36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029200" cy="4333822"/>
            <wp:effectExtent l="0" t="0" r="0" b="0"/>
            <wp:wrapTight wrapText="bothSides">
              <wp:wrapPolygon edited="0">
                <wp:start x="0" y="0"/>
                <wp:lineTo x="0" y="21461"/>
                <wp:lineTo x="21518" y="2146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33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01" w:rsidRDefault="00F46201" w:rsidP="00E1613F">
      <w:r>
        <w:separator/>
      </w:r>
    </w:p>
  </w:endnote>
  <w:endnote w:type="continuationSeparator" w:id="0">
    <w:p w:rsidR="00F46201" w:rsidRDefault="00F46201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01" w:rsidRDefault="00F46201" w:rsidP="00E1613F">
      <w:r>
        <w:separator/>
      </w:r>
    </w:p>
  </w:footnote>
  <w:footnote w:type="continuationSeparator" w:id="0">
    <w:p w:rsidR="00F46201" w:rsidRDefault="00F46201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D141FA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Billerica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20FF6"/>
    <w:rsid w:val="0006351C"/>
    <w:rsid w:val="000B209B"/>
    <w:rsid w:val="000D534C"/>
    <w:rsid w:val="00126C90"/>
    <w:rsid w:val="00147B88"/>
    <w:rsid w:val="0016483E"/>
    <w:rsid w:val="001F4864"/>
    <w:rsid w:val="00232E95"/>
    <w:rsid w:val="002A1895"/>
    <w:rsid w:val="002F4B87"/>
    <w:rsid w:val="00335E73"/>
    <w:rsid w:val="00342274"/>
    <w:rsid w:val="00365487"/>
    <w:rsid w:val="0037773C"/>
    <w:rsid w:val="003D5DFA"/>
    <w:rsid w:val="003E701C"/>
    <w:rsid w:val="0040345B"/>
    <w:rsid w:val="004236B0"/>
    <w:rsid w:val="004256BA"/>
    <w:rsid w:val="00457EDA"/>
    <w:rsid w:val="00485711"/>
    <w:rsid w:val="004A68F4"/>
    <w:rsid w:val="004B2048"/>
    <w:rsid w:val="004B2199"/>
    <w:rsid w:val="004C2826"/>
    <w:rsid w:val="004C2E55"/>
    <w:rsid w:val="004E5976"/>
    <w:rsid w:val="0052325A"/>
    <w:rsid w:val="005776E6"/>
    <w:rsid w:val="005C7C96"/>
    <w:rsid w:val="005E018A"/>
    <w:rsid w:val="00604108"/>
    <w:rsid w:val="00685194"/>
    <w:rsid w:val="006C35B7"/>
    <w:rsid w:val="006C680A"/>
    <w:rsid w:val="007022F2"/>
    <w:rsid w:val="007551B0"/>
    <w:rsid w:val="00797163"/>
    <w:rsid w:val="007A7282"/>
    <w:rsid w:val="007F0DD4"/>
    <w:rsid w:val="0081308B"/>
    <w:rsid w:val="00816959"/>
    <w:rsid w:val="00865FB9"/>
    <w:rsid w:val="008B545B"/>
    <w:rsid w:val="008C0486"/>
    <w:rsid w:val="00911D36"/>
    <w:rsid w:val="009C5DA1"/>
    <w:rsid w:val="009E7C22"/>
    <w:rsid w:val="009F1002"/>
    <w:rsid w:val="009F67C3"/>
    <w:rsid w:val="00A501CD"/>
    <w:rsid w:val="00A7016B"/>
    <w:rsid w:val="00A73B99"/>
    <w:rsid w:val="00AE38D1"/>
    <w:rsid w:val="00AE6530"/>
    <w:rsid w:val="00AF62C8"/>
    <w:rsid w:val="00B43275"/>
    <w:rsid w:val="00B65CA0"/>
    <w:rsid w:val="00B76682"/>
    <w:rsid w:val="00BC2729"/>
    <w:rsid w:val="00BF4E0E"/>
    <w:rsid w:val="00C74DED"/>
    <w:rsid w:val="00C82EF2"/>
    <w:rsid w:val="00CA46BB"/>
    <w:rsid w:val="00CE1701"/>
    <w:rsid w:val="00CF4108"/>
    <w:rsid w:val="00D01310"/>
    <w:rsid w:val="00D141FA"/>
    <w:rsid w:val="00D25713"/>
    <w:rsid w:val="00D55E38"/>
    <w:rsid w:val="00DC7328"/>
    <w:rsid w:val="00DD4EF5"/>
    <w:rsid w:val="00E1613F"/>
    <w:rsid w:val="00E25150"/>
    <w:rsid w:val="00ED0640"/>
    <w:rsid w:val="00F04B93"/>
    <w:rsid w:val="00F16C23"/>
    <w:rsid w:val="00F36EF2"/>
    <w:rsid w:val="00F46201"/>
    <w:rsid w:val="00F56167"/>
    <w:rsid w:val="00FA0B5E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5185-C6F6-4F5C-8671-C7921C2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27</cp:revision>
  <cp:lastPrinted>2019-09-17T18:24:00Z</cp:lastPrinted>
  <dcterms:created xsi:type="dcterms:W3CDTF">2019-09-27T16:47:00Z</dcterms:created>
  <dcterms:modified xsi:type="dcterms:W3CDTF">2019-10-09T13:53:00Z</dcterms:modified>
</cp:coreProperties>
</file>